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35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395"/>
        <w:gridCol w:w="195"/>
        <w:gridCol w:w="2175"/>
        <w:gridCol w:w="2325"/>
        <w:gridCol w:w="2265"/>
        <w:tblGridChange w:id="0">
          <w:tblGrid>
            <w:gridCol w:w="4395"/>
            <w:gridCol w:w="195"/>
            <w:gridCol w:w="2175"/>
            <w:gridCol w:w="2325"/>
            <w:gridCol w:w="2265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61c2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61c2d"/>
                <w:rtl w:val="0"/>
              </w:rPr>
              <w:t xml:space="preserve">Erythrocyte sedimentation rate (Westergren)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mm for 1st hour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highlight w:val="white"/>
                <w:rtl w:val="0"/>
              </w:rPr>
              <w:t xml:space="preserve"> 0 - 10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HAEMATOLOGY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