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Anti cyclic-citrullinated-peptide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U/mL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&lt; 5 U/mL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