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BIOCHEMISTRY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Serum Albumin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4"/>
                <w:szCs w:val="24"/>
                <w:highlight w:val="white"/>
                <w:rtl w:val="0"/>
              </w:rPr>
              <w:t xml:space="preserve">g/dl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