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250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0"/>
        <w:gridCol w:w="465"/>
        <w:gridCol w:w="2430"/>
        <w:gridCol w:w="2070"/>
        <w:gridCol w:w="2265"/>
        <w:tblGridChange w:id="0">
          <w:tblGrid>
            <w:gridCol w:w="4020"/>
            <w:gridCol w:w="465"/>
            <w:gridCol w:w="2430"/>
            <w:gridCol w:w="2070"/>
            <w:gridCol w:w="2265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61c2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c2d"/>
                <w:rtl w:val="0"/>
              </w:rPr>
              <w:t xml:space="preserve">Absolute Eosinophil Count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cumm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0 - 440</w:t>
            </w:r>
          </w:p>
        </w:tc>
      </w:tr>
    </w:tbl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HAEMATOLOGY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